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77BC" w14:textId="2076F0CF" w:rsidR="007D3D2D" w:rsidRPr="00585F3E" w:rsidRDefault="00585F3E">
      <w:pPr>
        <w:rPr>
          <w:b/>
          <w:bCs/>
        </w:rPr>
      </w:pPr>
      <w:r w:rsidRPr="00585F3E">
        <w:rPr>
          <w:b/>
          <w:bCs/>
        </w:rPr>
        <w:t>Graduate/Postgraduate T</w:t>
      </w:r>
      <w:r w:rsidRPr="00585F3E">
        <w:rPr>
          <w:b/>
          <w:bCs/>
        </w:rPr>
        <w:t>rainee Investment Banking Analyst</w:t>
      </w:r>
    </w:p>
    <w:p w14:paraId="5823D5E4" w14:textId="42A98331" w:rsidR="00585F3E" w:rsidRDefault="00585F3E">
      <w:pPr>
        <w:rPr>
          <w:b/>
          <w:bCs/>
        </w:rPr>
      </w:pPr>
      <w:proofErr w:type="spellStart"/>
      <w:r w:rsidRPr="00585F3E">
        <w:rPr>
          <w:b/>
          <w:bCs/>
        </w:rPr>
        <w:t>GoldenBeacon</w:t>
      </w:r>
      <w:proofErr w:type="spellEnd"/>
      <w:r w:rsidRPr="00585F3E">
        <w:rPr>
          <w:b/>
          <w:bCs/>
        </w:rPr>
        <w:t xml:space="preserve"> </w:t>
      </w:r>
      <w:r w:rsidRPr="00585F3E">
        <w:rPr>
          <w:b/>
          <w:bCs/>
        </w:rPr>
        <w:t>Investments</w:t>
      </w:r>
    </w:p>
    <w:p w14:paraId="4C6E0F36" w14:textId="1F999ABE" w:rsidR="00585F3E" w:rsidRDefault="00585F3E" w:rsidP="00585F3E">
      <w:r w:rsidRPr="00585F3E">
        <w:br/>
        <w:t>Our Investment Banking Analyst 2026 programme is designed for high-potential graduates looking to launch a front-office investment banking career within a highly regulated financial environment.</w:t>
      </w:r>
      <w:r>
        <w:t xml:space="preserve">  T</w:t>
      </w:r>
      <w:r w:rsidRPr="00585F3E">
        <w:t>his two-year fast-track programme focuses on building strong technical foundations, commercial awareness, and deal execution skills.</w:t>
      </w:r>
      <w:r w:rsidRPr="00585F3E">
        <w:br/>
      </w:r>
      <w:r w:rsidRPr="00585F3E">
        <w:br/>
        <w:t>You will work closely with experienced bankers on live transactions while operating within strict regulatory and compliance frameworks. This role is ideal for candidates who understand the importance of regulatory integrity, AML controls, and financial crime prevention alongside commercial performance.</w:t>
      </w:r>
      <w:r w:rsidRPr="00585F3E">
        <w:br/>
      </w:r>
      <w:r w:rsidRPr="00585F3E">
        <w:br/>
      </w:r>
      <w:r w:rsidRPr="00585F3E">
        <w:rPr>
          <w:u w:val="single"/>
        </w:rPr>
        <w:t>What You’ll Do</w:t>
      </w:r>
      <w:r w:rsidRPr="00585F3E">
        <w:br/>
      </w:r>
    </w:p>
    <w:p w14:paraId="399298B9" w14:textId="77777777" w:rsidR="00585F3E" w:rsidRDefault="00585F3E" w:rsidP="00585F3E">
      <w:pPr>
        <w:pStyle w:val="ListParagraph"/>
        <w:numPr>
          <w:ilvl w:val="0"/>
          <w:numId w:val="4"/>
        </w:numPr>
      </w:pPr>
      <w:r w:rsidRPr="00585F3E">
        <w:t>Build and maintain financial models, valuations, and forecasts.</w:t>
      </w:r>
    </w:p>
    <w:p w14:paraId="4E7E5BAE" w14:textId="77777777" w:rsidR="00585F3E" w:rsidRDefault="00585F3E" w:rsidP="00585F3E">
      <w:pPr>
        <w:pStyle w:val="ListParagraph"/>
        <w:numPr>
          <w:ilvl w:val="0"/>
          <w:numId w:val="4"/>
        </w:numPr>
      </w:pPr>
      <w:r w:rsidRPr="00585F3E">
        <w:t>Prepare pitch books, client presentations, and investment memoranda.</w:t>
      </w:r>
    </w:p>
    <w:p w14:paraId="40E94E7B" w14:textId="77777777" w:rsidR="00585F3E" w:rsidRDefault="00585F3E" w:rsidP="00585F3E">
      <w:pPr>
        <w:pStyle w:val="ListParagraph"/>
        <w:numPr>
          <w:ilvl w:val="0"/>
          <w:numId w:val="4"/>
        </w:numPr>
      </w:pPr>
      <w:r w:rsidRPr="00585F3E">
        <w:t>Support senior bankers on live M&amp;A, fundraising, and advisory mandates.</w:t>
      </w:r>
    </w:p>
    <w:p w14:paraId="54625AFC" w14:textId="77777777" w:rsidR="00585F3E" w:rsidRDefault="00585F3E" w:rsidP="00585F3E">
      <w:pPr>
        <w:pStyle w:val="ListParagraph"/>
        <w:numPr>
          <w:ilvl w:val="0"/>
          <w:numId w:val="4"/>
        </w:numPr>
      </w:pPr>
      <w:r w:rsidRPr="00585F3E">
        <w:t>Conduct company, sector, and market research.</w:t>
      </w:r>
    </w:p>
    <w:p w14:paraId="515A0DE6" w14:textId="77777777" w:rsidR="00585F3E" w:rsidRDefault="00585F3E" w:rsidP="00585F3E">
      <w:pPr>
        <w:pStyle w:val="ListParagraph"/>
        <w:numPr>
          <w:ilvl w:val="0"/>
          <w:numId w:val="4"/>
        </w:numPr>
      </w:pPr>
      <w:r w:rsidRPr="00585F3E">
        <w:t>Assist with due diligence processes, including regulatory and compliance checks.</w:t>
      </w:r>
    </w:p>
    <w:p w14:paraId="3CABA3C7" w14:textId="77777777" w:rsidR="00585F3E" w:rsidRDefault="00585F3E" w:rsidP="00585F3E">
      <w:pPr>
        <w:pStyle w:val="ListParagraph"/>
        <w:numPr>
          <w:ilvl w:val="0"/>
          <w:numId w:val="4"/>
        </w:numPr>
      </w:pPr>
      <w:r w:rsidRPr="00585F3E">
        <w:t>Work closely with internal compliance and risk teams to ensure transactions meet regulatory standards.</w:t>
      </w:r>
    </w:p>
    <w:p w14:paraId="09333B3C" w14:textId="7FDC7E2F" w:rsidR="00585F3E" w:rsidRDefault="00585F3E" w:rsidP="00585F3E">
      <w:r w:rsidRPr="00585F3E">
        <w:rPr>
          <w:u w:val="single"/>
        </w:rPr>
        <w:t>Training &amp; Development</w:t>
      </w:r>
      <w:r w:rsidRPr="00585F3E">
        <w:br/>
      </w:r>
    </w:p>
    <w:p w14:paraId="3DA70A6C" w14:textId="77777777" w:rsidR="00585F3E" w:rsidRDefault="00585F3E" w:rsidP="00585F3E">
      <w:pPr>
        <w:pStyle w:val="ListParagraph"/>
        <w:numPr>
          <w:ilvl w:val="0"/>
          <w:numId w:val="4"/>
        </w:numPr>
      </w:pPr>
      <w:r w:rsidRPr="00585F3E">
        <w:t>Exposure to regulatory frameworks governing investment banking activities.</w:t>
      </w:r>
    </w:p>
    <w:p w14:paraId="3B9D1044" w14:textId="77777777" w:rsidR="00585F3E" w:rsidRDefault="00585F3E" w:rsidP="00585F3E">
      <w:pPr>
        <w:pStyle w:val="ListParagraph"/>
        <w:numPr>
          <w:ilvl w:val="0"/>
          <w:numId w:val="4"/>
        </w:numPr>
      </w:pPr>
      <w:r w:rsidRPr="00585F3E">
        <w:t>Structured technical training covering financial modelling, valuation, and deal execution.</w:t>
      </w:r>
    </w:p>
    <w:p w14:paraId="0E32929F" w14:textId="77777777" w:rsidR="00585F3E" w:rsidRDefault="00585F3E" w:rsidP="00585F3E">
      <w:pPr>
        <w:pStyle w:val="ListParagraph"/>
        <w:numPr>
          <w:ilvl w:val="0"/>
          <w:numId w:val="4"/>
        </w:numPr>
      </w:pPr>
      <w:r w:rsidRPr="00585F3E">
        <w:t>Ongoing coaching from senior bankers and compliance professionals.</w:t>
      </w:r>
    </w:p>
    <w:p w14:paraId="6B4EB909" w14:textId="77777777" w:rsidR="00585F3E" w:rsidRDefault="00585F3E" w:rsidP="00585F3E">
      <w:pPr>
        <w:pStyle w:val="ListParagraph"/>
        <w:numPr>
          <w:ilvl w:val="0"/>
          <w:numId w:val="4"/>
        </w:numPr>
      </w:pPr>
      <w:r w:rsidRPr="00585F3E">
        <w:t>Sponsorship for relevant professional and regulatory qualifications where appropriate.</w:t>
      </w:r>
    </w:p>
    <w:p w14:paraId="696D4DA4" w14:textId="77777777" w:rsidR="00585F3E" w:rsidRDefault="00585F3E" w:rsidP="00585F3E">
      <w:pPr>
        <w:pStyle w:val="ListParagraph"/>
        <w:numPr>
          <w:ilvl w:val="0"/>
          <w:numId w:val="4"/>
        </w:numPr>
      </w:pPr>
      <w:r w:rsidRPr="00585F3E">
        <w:t>Fast-track progression opportunities for top-performing graduates.</w:t>
      </w:r>
    </w:p>
    <w:p w14:paraId="6F8F66B1" w14:textId="77777777" w:rsidR="00585F3E" w:rsidRDefault="00585F3E" w:rsidP="00585F3E">
      <w:pPr>
        <w:pStyle w:val="ListParagraph"/>
        <w:numPr>
          <w:ilvl w:val="0"/>
          <w:numId w:val="4"/>
        </w:numPr>
      </w:pPr>
      <w:r w:rsidRPr="00585F3E">
        <w:t>Regulatory &amp; Compliance Focus (Key Advantage)</w:t>
      </w:r>
      <w:r w:rsidRPr="00585F3E">
        <w:br/>
      </w:r>
    </w:p>
    <w:p w14:paraId="504D1979" w14:textId="5A008302" w:rsidR="00585F3E" w:rsidRDefault="00585F3E" w:rsidP="00585F3E">
      <w:pPr>
        <w:spacing w:after="0" w:line="240" w:lineRule="auto"/>
      </w:pPr>
      <w:r w:rsidRPr="00585F3E">
        <w:t>Given the nature of this role, strong knowledge of Anti-Money Laundering (AML), KYC, and financial crime regulations is a significant advantage. Candidates with prior exposure to AML, compliance, or regulatory training will be particularly well suited, as the role operates within a highly regulated department where accuracy, ethical standards, and regulatory awareness are critical.</w:t>
      </w:r>
      <w:r w:rsidRPr="00585F3E">
        <w:br/>
      </w:r>
      <w:r w:rsidRPr="00585F3E">
        <w:br/>
      </w:r>
      <w:r w:rsidRPr="00585F3E">
        <w:rPr>
          <w:u w:val="single"/>
        </w:rPr>
        <w:t>Who We’re Looking For</w:t>
      </w:r>
      <w:r w:rsidRPr="00585F3E">
        <w:rPr>
          <w:u w:val="single"/>
        </w:rPr>
        <w:br/>
      </w:r>
      <w:r w:rsidRPr="00585F3E">
        <w:br/>
        <w:t>Strong analytical and numerical skills with excellent attention to detail.</w:t>
      </w:r>
      <w:r w:rsidRPr="00585F3E">
        <w:br/>
        <w:t>A genuine interest in investment banking and regulated financial services</w:t>
      </w:r>
      <w:r>
        <w:t>.</w:t>
      </w:r>
      <w:r w:rsidRPr="00585F3E">
        <w:br/>
        <w:t>Prior knowledge or training in AML, compliance, or financial regulation is highly desirable.</w:t>
      </w:r>
      <w:r>
        <w:t xml:space="preserve"> </w:t>
      </w:r>
      <w:r w:rsidRPr="00585F3E">
        <w:br/>
        <w:t>Strong communication skills, integrity, and a professional mindset.</w:t>
      </w:r>
    </w:p>
    <w:p w14:paraId="0E390046" w14:textId="3A350F33" w:rsidR="00585F3E" w:rsidRPr="00585F3E" w:rsidRDefault="00585F3E">
      <w:r w:rsidRPr="00585F3E">
        <w:t>The resilience and motivation to thrive in a demanding environment.</w:t>
      </w:r>
    </w:p>
    <w:p w14:paraId="284B6760" w14:textId="77777777" w:rsidR="00585F3E" w:rsidRDefault="00585F3E"/>
    <w:sectPr w:rsidR="00585F3E" w:rsidSect="00585F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F4D"/>
    <w:multiLevelType w:val="hybridMultilevel"/>
    <w:tmpl w:val="28F8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74F0"/>
    <w:multiLevelType w:val="hybridMultilevel"/>
    <w:tmpl w:val="B9A0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5C66A7"/>
    <w:multiLevelType w:val="hybridMultilevel"/>
    <w:tmpl w:val="E09EA9E6"/>
    <w:lvl w:ilvl="0" w:tplc="817AA238">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91146"/>
    <w:multiLevelType w:val="hybridMultilevel"/>
    <w:tmpl w:val="CE1C87AC"/>
    <w:lvl w:ilvl="0" w:tplc="20408C4C">
      <w:start w:val="2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518666">
    <w:abstractNumId w:val="0"/>
  </w:num>
  <w:num w:numId="2" w16cid:durableId="818155571">
    <w:abstractNumId w:val="1"/>
  </w:num>
  <w:num w:numId="3" w16cid:durableId="1593270630">
    <w:abstractNumId w:val="2"/>
  </w:num>
  <w:num w:numId="4" w16cid:durableId="1115245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3E"/>
    <w:rsid w:val="002311EC"/>
    <w:rsid w:val="00585F3E"/>
    <w:rsid w:val="006B209F"/>
    <w:rsid w:val="007D3D2D"/>
    <w:rsid w:val="00800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B09E"/>
  <w15:chartTrackingRefBased/>
  <w15:docId w15:val="{226C57F0-32A6-490D-B9B7-A56B97BC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F3E"/>
    <w:rPr>
      <w:rFonts w:eastAsiaTheme="majorEastAsia" w:cstheme="majorBidi"/>
      <w:color w:val="272727" w:themeColor="text1" w:themeTint="D8"/>
    </w:rPr>
  </w:style>
  <w:style w:type="paragraph" w:styleId="Title">
    <w:name w:val="Title"/>
    <w:basedOn w:val="Normal"/>
    <w:next w:val="Normal"/>
    <w:link w:val="TitleChar"/>
    <w:uiPriority w:val="10"/>
    <w:qFormat/>
    <w:rsid w:val="0058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F3E"/>
    <w:pPr>
      <w:spacing w:before="160"/>
      <w:jc w:val="center"/>
    </w:pPr>
    <w:rPr>
      <w:i/>
      <w:iCs/>
      <w:color w:val="404040" w:themeColor="text1" w:themeTint="BF"/>
    </w:rPr>
  </w:style>
  <w:style w:type="character" w:customStyle="1" w:styleId="QuoteChar">
    <w:name w:val="Quote Char"/>
    <w:basedOn w:val="DefaultParagraphFont"/>
    <w:link w:val="Quote"/>
    <w:uiPriority w:val="29"/>
    <w:rsid w:val="00585F3E"/>
    <w:rPr>
      <w:i/>
      <w:iCs/>
      <w:color w:val="404040" w:themeColor="text1" w:themeTint="BF"/>
    </w:rPr>
  </w:style>
  <w:style w:type="paragraph" w:styleId="ListParagraph">
    <w:name w:val="List Paragraph"/>
    <w:basedOn w:val="Normal"/>
    <w:uiPriority w:val="34"/>
    <w:qFormat/>
    <w:rsid w:val="00585F3E"/>
    <w:pPr>
      <w:ind w:left="720"/>
      <w:contextualSpacing/>
    </w:pPr>
  </w:style>
  <w:style w:type="character" w:styleId="IntenseEmphasis">
    <w:name w:val="Intense Emphasis"/>
    <w:basedOn w:val="DefaultParagraphFont"/>
    <w:uiPriority w:val="21"/>
    <w:qFormat/>
    <w:rsid w:val="00585F3E"/>
    <w:rPr>
      <w:i/>
      <w:iCs/>
      <w:color w:val="0F4761" w:themeColor="accent1" w:themeShade="BF"/>
    </w:rPr>
  </w:style>
  <w:style w:type="paragraph" w:styleId="IntenseQuote">
    <w:name w:val="Intense Quote"/>
    <w:basedOn w:val="Normal"/>
    <w:next w:val="Normal"/>
    <w:link w:val="IntenseQuoteChar"/>
    <w:uiPriority w:val="30"/>
    <w:qFormat/>
    <w:rsid w:val="00585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F3E"/>
    <w:rPr>
      <w:i/>
      <w:iCs/>
      <w:color w:val="0F4761" w:themeColor="accent1" w:themeShade="BF"/>
    </w:rPr>
  </w:style>
  <w:style w:type="character" w:styleId="IntenseReference">
    <w:name w:val="Intense Reference"/>
    <w:basedOn w:val="DefaultParagraphFont"/>
    <w:uiPriority w:val="32"/>
    <w:qFormat/>
    <w:rsid w:val="00585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b7e5be-fe97-4b76-916e-ef41e693f73d">
      <Terms xmlns="http://schemas.microsoft.com/office/infopath/2007/PartnerControls"/>
    </lcf76f155ced4ddcb4097134ff3c332f>
    <TaxCatchAll xmlns="e6a81f1d-80e3-41c1-8a61-b71b989bbc27" xsi:nil="true"/>
  </documentManagement>
</p:properties>
</file>

<file path=customXml/itemProps1.xml><?xml version="1.0" encoding="utf-8"?>
<ds:datastoreItem xmlns:ds="http://schemas.openxmlformats.org/officeDocument/2006/customXml" ds:itemID="{9E656879-D779-48A1-A9A8-FF21986F8AE3}"/>
</file>

<file path=customXml/itemProps2.xml><?xml version="1.0" encoding="utf-8"?>
<ds:datastoreItem xmlns:ds="http://schemas.openxmlformats.org/officeDocument/2006/customXml" ds:itemID="{B73BF837-07E5-4381-B86D-142F34A2092C}"/>
</file>

<file path=customXml/itemProps3.xml><?xml version="1.0" encoding="utf-8"?>
<ds:datastoreItem xmlns:ds="http://schemas.openxmlformats.org/officeDocument/2006/customXml" ds:itemID="{F70516E1-D6D7-4F21-B6DD-F4226E54C8CC}"/>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  Galati</dc:creator>
  <cp:keywords/>
  <dc:description/>
  <cp:lastModifiedBy>Tonia  Galati</cp:lastModifiedBy>
  <cp:revision>1</cp:revision>
  <dcterms:created xsi:type="dcterms:W3CDTF">2026-02-09T13:26:00Z</dcterms:created>
  <dcterms:modified xsi:type="dcterms:W3CDTF">2026-02-09T13:32:00Z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